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49" w:rsidRDefault="00592049" w:rsidP="00592049">
      <w:pPr>
        <w:pStyle w:val="ConsPlusNormal"/>
        <w:jc w:val="right"/>
        <w:outlineLvl w:val="0"/>
      </w:pPr>
      <w:r>
        <w:t>Приложение 28</w:t>
      </w:r>
    </w:p>
    <w:p w:rsidR="00592049" w:rsidRDefault="00592049" w:rsidP="00592049">
      <w:pPr>
        <w:pStyle w:val="ConsPlusNormal"/>
        <w:jc w:val="right"/>
      </w:pPr>
      <w:r>
        <w:t>к Закону Забайкальского края "О бюджете</w:t>
      </w:r>
    </w:p>
    <w:p w:rsidR="00592049" w:rsidRDefault="00592049" w:rsidP="00592049">
      <w:pPr>
        <w:pStyle w:val="ConsPlusNormal"/>
        <w:jc w:val="right"/>
      </w:pPr>
      <w:r>
        <w:t>Забайкальского края на 2021 год и</w:t>
      </w:r>
    </w:p>
    <w:p w:rsidR="00592049" w:rsidRDefault="00592049" w:rsidP="00592049">
      <w:pPr>
        <w:pStyle w:val="ConsPlusNormal"/>
        <w:jc w:val="right"/>
      </w:pPr>
      <w:r>
        <w:t>плановый период 2022 и 2023 годов"</w:t>
      </w:r>
    </w:p>
    <w:p w:rsidR="00592049" w:rsidRDefault="00592049" w:rsidP="00592049">
      <w:pPr>
        <w:pStyle w:val="ConsPlusNormal"/>
        <w:jc w:val="both"/>
      </w:pPr>
    </w:p>
    <w:p w:rsidR="00592049" w:rsidRDefault="00592049" w:rsidP="00592049">
      <w:pPr>
        <w:pStyle w:val="ConsPlusTitle"/>
        <w:jc w:val="center"/>
      </w:pPr>
      <w:bookmarkStart w:id="0" w:name="P117631"/>
      <w:bookmarkEnd w:id="0"/>
      <w:r>
        <w:t>МЕЖБЮДЖЕТНЫЕ ТРАНСФЕРТЫ, ПРЕДОСТАВЛЯЕМЫЕ БЮДЖЕТАМ</w:t>
      </w:r>
    </w:p>
    <w:p w:rsidR="00592049" w:rsidRDefault="00592049" w:rsidP="0059204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592049" w:rsidRDefault="00592049" w:rsidP="00592049">
      <w:pPr>
        <w:pStyle w:val="ConsPlusTitle"/>
        <w:jc w:val="center"/>
      </w:pPr>
      <w:r>
        <w:t>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92049" w:rsidRDefault="00592049" w:rsidP="0059204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92049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049" w:rsidRDefault="00592049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049" w:rsidRDefault="00592049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049" w:rsidRDefault="00592049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049" w:rsidRDefault="00592049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92049" w:rsidRDefault="00592049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049" w:rsidRDefault="00592049" w:rsidP="00ED6C0D">
            <w:pPr>
              <w:spacing w:after="1" w:line="0" w:lineRule="atLeast"/>
            </w:pPr>
          </w:p>
        </w:tc>
      </w:tr>
    </w:tbl>
    <w:p w:rsidR="00592049" w:rsidRDefault="00592049" w:rsidP="00592049">
      <w:pPr>
        <w:pStyle w:val="ConsPlusNormal"/>
        <w:jc w:val="center"/>
      </w:pPr>
    </w:p>
    <w:p w:rsidR="00592049" w:rsidRDefault="00592049" w:rsidP="00592049">
      <w:pPr>
        <w:sectPr w:rsidR="005920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644"/>
        <w:gridCol w:w="557"/>
        <w:gridCol w:w="557"/>
        <w:gridCol w:w="949"/>
        <w:gridCol w:w="1474"/>
        <w:gridCol w:w="1474"/>
      </w:tblGrid>
      <w:tr w:rsidR="00592049" w:rsidTr="00ED6C0D">
        <w:tc>
          <w:tcPr>
            <w:tcW w:w="3844" w:type="dxa"/>
            <w:vMerge w:val="restart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707" w:type="dxa"/>
            <w:gridSpan w:val="4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948" w:type="dxa"/>
            <w:gridSpan w:val="2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92049" w:rsidTr="00ED6C0D">
        <w:tc>
          <w:tcPr>
            <w:tcW w:w="3844" w:type="dxa"/>
            <w:vMerge/>
          </w:tcPr>
          <w:p w:rsidR="00592049" w:rsidRDefault="00592049" w:rsidP="00ED6C0D">
            <w:pPr>
              <w:spacing w:after="1" w:line="0" w:lineRule="atLeast"/>
            </w:pP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4 826 610,0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4 300 946,0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01 3 02 78020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4 273 919,0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27 027,0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88 0 00 50100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27 027,0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2 554 758,8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2 341 219,8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308 713,9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311 406,3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Субсидии на 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12 1 02 74770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26 058,3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69 488,7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215 859,3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160 000,0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1 100 517,2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944 466,8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14 2 04 71438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08 R3040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888 943,1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18 897,6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36 626,1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204 288,5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213 363,5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2 197,1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24 609,5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175 442,7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184 469,0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2 087,9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"Совершенствование государственного </w:t>
            </w:r>
            <w:r>
              <w:lastRenderedPageBreak/>
              <w:t>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1 313,9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188 443,8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58 378,8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33 266,6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25 112,2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279 023,8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31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245,5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32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173 577,4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Реализация мероприятий по комплексному развитию сельских </w:t>
            </w:r>
            <w:r>
              <w:lastRenderedPageBreak/>
              <w:t>территорий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32 1 01 R5760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5 212,7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163 221,7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5 143,0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11 146 194,2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11 423 687,4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99 620,2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01 3 02 78060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01 3 02 79205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5 426,2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04 3 08 79206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10 804,5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28 908,7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25 999,3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2 909,4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92 927,5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13 1 03 74505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92 858,0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13 1 03 79227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16,1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13 1 03 79502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53,4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10 253 336,9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10 513 817,8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3 137 832,7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14 1 02 71230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34 824,8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14 2 01 71201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7 040 431,8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Предоставление компенсации затрат родителей (законных представителей) детей-инвалидов на обучение по </w:t>
            </w:r>
            <w:r>
              <w:lastRenderedPageBreak/>
              <w:t>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14 2 01 71228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6 311,3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14 2 03 71218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174 091,2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14 3 02 71432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117 321,4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14 9 05 79230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3 004,6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567 851,8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582 002,9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17 3 03 72400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446 829,2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17 3 03 79211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97 855,7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Приобретение (строительство) жилых </w:t>
            </w:r>
            <w:r>
              <w:lastRenderedPageBreak/>
              <w:t>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37 282,3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17 3 05 79581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35,7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97 241,5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95 605,8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88 0 00 51180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66 609,1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88 0 00 51200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415,8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88 0 00 79207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264,0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граждан, имеющих право на получение единовременной </w:t>
            </w:r>
            <w:r>
              <w:lastRenderedPageBreak/>
              <w:t>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945,5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88 0 00 79214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416,8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88 0 00 79220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26 954,6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2 463 001,1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1 395 355,7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08 2 G4 51080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1 092 276,0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130 000,0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 xml:space="preserve">Снижение совокупного объема </w:t>
            </w:r>
            <w:r>
              <w:lastRenderedPageBreak/>
              <w:t>выбросов загрязняющих веществ в атмосферный воздух в г. Чите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lastRenderedPageBreak/>
              <w:t>13 1 G4 51080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13 3 03 74316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130 000,0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1 109 140,9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1 111 957,9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14 2 01 71030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113 702,8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14 2 08 71444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15 1 A3 54530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0,0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153 397,8</w:t>
            </w:r>
          </w:p>
        </w:tc>
      </w:tr>
      <w:tr w:rsidR="00592049" w:rsidTr="00ED6C0D">
        <w:tc>
          <w:tcPr>
            <w:tcW w:w="3844" w:type="dxa"/>
            <w:vAlign w:val="center"/>
          </w:tcPr>
          <w:p w:rsidR="00592049" w:rsidRDefault="00592049" w:rsidP="00ED6C0D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  <w:r>
              <w:t>29 1 F2 74240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153 397,8</w:t>
            </w:r>
          </w:p>
        </w:tc>
      </w:tr>
      <w:tr w:rsidR="00592049" w:rsidTr="00ED6C0D">
        <w:tc>
          <w:tcPr>
            <w:tcW w:w="3844" w:type="dxa"/>
          </w:tcPr>
          <w:p w:rsidR="00592049" w:rsidRDefault="00592049" w:rsidP="00ED6C0D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592049" w:rsidRDefault="0059204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20 990 564,1</w:t>
            </w:r>
          </w:p>
        </w:tc>
        <w:tc>
          <w:tcPr>
            <w:tcW w:w="1474" w:type="dxa"/>
            <w:vAlign w:val="center"/>
          </w:tcPr>
          <w:p w:rsidR="00592049" w:rsidRDefault="00592049" w:rsidP="00ED6C0D">
            <w:pPr>
              <w:pStyle w:val="ConsPlusNormal"/>
              <w:jc w:val="right"/>
            </w:pPr>
            <w:r>
              <w:t>19 461 208,9</w:t>
            </w:r>
          </w:p>
        </w:tc>
      </w:tr>
    </w:tbl>
    <w:p w:rsidR="00592049" w:rsidRDefault="00592049" w:rsidP="00592049">
      <w:pPr>
        <w:sectPr w:rsidR="005920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049" w:rsidRDefault="00592049" w:rsidP="00592049">
      <w:pPr>
        <w:pStyle w:val="ConsPlusNormal"/>
        <w:jc w:val="both"/>
      </w:pPr>
    </w:p>
    <w:p w:rsidR="00592049" w:rsidRDefault="00592049" w:rsidP="00592049">
      <w:pPr>
        <w:pStyle w:val="ConsPlusNormal"/>
        <w:jc w:val="both"/>
      </w:pPr>
    </w:p>
    <w:p w:rsidR="00592049" w:rsidRDefault="00592049" w:rsidP="00592049">
      <w:pPr>
        <w:pStyle w:val="ConsPlusNormal"/>
        <w:jc w:val="both"/>
      </w:pPr>
    </w:p>
    <w:p w:rsidR="00592049" w:rsidRDefault="00592049" w:rsidP="00592049">
      <w:pPr>
        <w:pStyle w:val="ConsPlusNormal"/>
        <w:jc w:val="both"/>
      </w:pPr>
    </w:p>
    <w:p w:rsidR="00592049" w:rsidRDefault="00592049" w:rsidP="00592049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9"/>
    <w:rsid w:val="000C1B69"/>
    <w:rsid w:val="005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0C7B428C59D003100B67796E81B7871CEC57A395B8CEA45D1BEF3646B5732404D557D9EC0987A5E97603C173747E298E408nDA" TargetMode="External"/><Relationship Id="rId5" Type="http://schemas.openxmlformats.org/officeDocument/2006/relationships/hyperlink" Target="consultantplus://offline/ref=F230C7B428C59D003100B67796E81B7871CEC57A395B8CE846D5BFF3646B5732404D557D9ED298225296692A123052B4C9A2DADEF7D4C4A8F76E6A25410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2022-01-19T02:56:00Z</dcterms:created>
  <dcterms:modified xsi:type="dcterms:W3CDTF">2022-01-19T02:57:00Z</dcterms:modified>
</cp:coreProperties>
</file>